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8F9" w14:textId="77777777" w:rsidR="000F2B78" w:rsidRPr="000F2B78" w:rsidRDefault="000F2B78" w:rsidP="000F2B78">
      <w:pPr>
        <w:shd w:val="clear" w:color="auto" w:fill="355C7D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</w:pPr>
      <w:r w:rsidRPr="000F2B78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eastAsia="nb-NO"/>
        </w:rPr>
        <w:t>CIMAZIA®</w:t>
      </w:r>
    </w:p>
    <w:p w14:paraId="3E1BE598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CERTOLIZUMAB PEGOL = CIMZIA®</w:t>
      </w:r>
    </w:p>
    <w:p w14:paraId="4F43C997" w14:textId="77777777" w:rsidR="000F2B78" w:rsidRPr="000F2B78" w:rsidRDefault="000F2B78" w:rsidP="000F2B78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Innhold</w:t>
      </w:r>
    </w:p>
    <w:p w14:paraId="769989BB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5" w:anchor="1++Hensikten+med+kontrollrutiner+og+ansvarsforhold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1. Hensikten med kontrollrutiner og ansvarsforhold:</w:t>
        </w:r>
      </w:hyperlink>
    </w:p>
    <w:p w14:paraId="7B45D001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6" w:anchor="2++Virkningsmekanisme+og+dosering+av+Cimzia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2. Virkningsmekanisme og dosering av </w:t>
        </w:r>
        <w:proofErr w:type="spellStart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Cimzia</w:t>
        </w:r>
        <w:proofErr w:type="spellEnd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4049A6FB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7" w:anchor="3++Generelle+bivirkninger+av+Cimzia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3. Generelle bivirkninger av </w:t>
        </w:r>
        <w:proofErr w:type="spellStart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Cimzia</w:t>
        </w:r>
        <w:proofErr w:type="spellEnd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6497C552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8" w:anchor="4++Blodpr+vekontroller+ved+Cimzia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4. Blodprøvekontroller ved </w:t>
        </w:r>
        <w:proofErr w:type="spellStart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Cimzia</w:t>
        </w:r>
        <w:proofErr w:type="spellEnd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2D79C856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9" w:anchor="Kontakt+revmatolog+hvis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 revmatolog hvis:</w:t>
        </w:r>
      </w:hyperlink>
    </w:p>
    <w:p w14:paraId="34075426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0" w:anchor="5++Viktige+generelle+r+d+ved+Cimzia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 xml:space="preserve">5. Viktige generelle råd ved </w:t>
        </w:r>
        <w:proofErr w:type="spellStart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Cimzia</w:t>
        </w:r>
        <w:proofErr w:type="spellEnd"/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®</w:t>
        </w:r>
      </w:hyperlink>
    </w:p>
    <w:p w14:paraId="18340588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1" w:anchor="+kt+infeksjonsfare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Økt infeksjonsfare</w:t>
        </w:r>
      </w:hyperlink>
    </w:p>
    <w:p w14:paraId="1EC4F013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2" w:anchor="Seponer+hvis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Seponer hvis</w:t>
        </w:r>
      </w:hyperlink>
    </w:p>
    <w:p w14:paraId="043ACF30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3" w:anchor="Graviditet+og+amming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Graviditet og amming:</w:t>
        </w:r>
      </w:hyperlink>
    </w:p>
    <w:p w14:paraId="5F2B2673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4" w:anchor="6++Kirurgiske+inngrep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Kirurgiske inngrep:</w:t>
        </w:r>
      </w:hyperlink>
    </w:p>
    <w:p w14:paraId="156EE498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5" w:anchor="Vaksiner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Vaksiner</w:t>
        </w:r>
      </w:hyperlink>
    </w:p>
    <w:p w14:paraId="5A445463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6" w:anchor="Kontaktinformasjon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Kontaktinformasjon</w:t>
        </w:r>
      </w:hyperlink>
    </w:p>
    <w:p w14:paraId="0A664A83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hyperlink r:id="rId17" w:anchor="Kilder+" w:history="1">
        <w:r w:rsidRPr="000F2B78">
          <w:rPr>
            <w:rFonts w:ascii="Times New Roman" w:eastAsia="Times New Roman" w:hAnsi="Times New Roman" w:cs="Times New Roman"/>
            <w:color w:val="355C7D"/>
            <w:sz w:val="21"/>
            <w:szCs w:val="21"/>
            <w:u w:val="single"/>
            <w:lang w:eastAsia="nb-NO"/>
          </w:rPr>
          <w:t>Kilder:</w:t>
        </w:r>
      </w:hyperlink>
    </w:p>
    <w:p w14:paraId="11453053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pict w14:anchorId="1A87C45E">
          <v:rect id="_x0000_i1028" style="width:0;height:0" o:hralign="center" o:hrstd="t" o:hr="t" fillcolor="#a0a0a0" stroked="f"/>
        </w:pict>
      </w:r>
    </w:p>
    <w:p w14:paraId="265BA47D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</w:p>
    <w:p w14:paraId="24C21C10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1. Hensikten med kontrollrutiner og ansvarsforhold:</w:t>
      </w:r>
    </w:p>
    <w:p w14:paraId="45BB64AF" w14:textId="77777777" w:rsidR="000F2B78" w:rsidRPr="000F2B78" w:rsidRDefault="000F2B78" w:rsidP="000F2B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med biologisk medisin for revmatisk sykdom er en spesialistoppgave, men vi er avhengige av tilbakemelding fra fastlege og/eller pasient ved bivirkninger, endring av blodbildet eller om det oppstår kontraindikasjoner for videre behandling.</w:t>
      </w:r>
    </w:p>
    <w:p w14:paraId="4112635E" w14:textId="77777777" w:rsidR="000F2B78" w:rsidRPr="000F2B78" w:rsidRDefault="000F2B78" w:rsidP="000F2B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Hensikten med kontrollrutiner med blant annet blodprøver er å fange opp tegn på bivirkninger, toksisitet eller kontraindikasjoner før alvorlige komplikasjoner inntrer.</w:t>
      </w:r>
    </w:p>
    <w:p w14:paraId="797AE629" w14:textId="77777777" w:rsidR="000F2B78" w:rsidRPr="000F2B78" w:rsidRDefault="000F2B78" w:rsidP="000F2B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Pasienten har fått generell informasjon om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®. Pasienten har fått utlevert informasjonsark fra Norsk Revmatologisk Forening ang preparatet.</w:t>
      </w:r>
    </w:p>
    <w:p w14:paraId="7ADCAB00" w14:textId="77777777" w:rsidR="000F2B78" w:rsidRPr="000F2B78" w:rsidRDefault="000F2B78" w:rsidP="000F2B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Pasienten er informert om at det er pasientens ansvar å møte opp til kontroller og blodprøvetaking hos fastlege som anbefalt.</w:t>
      </w:r>
    </w:p>
    <w:p w14:paraId="7E9925CB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2. Virkningsmekanisme og dosering av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544BD441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et biologisk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typen TNF-hemmer.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en reseptor antistoff. Halveringstiden på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® er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2 uker.</w:t>
      </w:r>
    </w:p>
    <w:p w14:paraId="7C1AB706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skiller seg litt fra de andre TNF-reseptor antistoffene da det kun har et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pegylert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Fab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-</w:t>
      </w:r>
      <w:proofErr w:type="gram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fragment  –</w:t>
      </w:r>
      <w:proofErr w:type="gram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dette gjør at det er svært lite passasje over placenta. (&lt;10%</w:t>
      </w:r>
      <w:proofErr w:type="gram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) .</w:t>
      </w:r>
      <w:proofErr w:type="gramEnd"/>
    </w:p>
    <w:p w14:paraId="27EC5339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brukes som hovedregel når syntetiske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DMARDs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ikke har hatt tilfredsstillende effekt. Ofte kombineres medikamentene for å potensere virkningen og for å forhindre antistoffdannelse.</w:t>
      </w:r>
    </w:p>
    <w:p w14:paraId="304176DE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Effekten av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inntrer som regel raskt og øker de første 2-3 mnd. Ved manglende effekt innen 3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avsluttes behandlingen.</w:t>
      </w:r>
    </w:p>
    <w:p w14:paraId="5A79EF39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kun forskrives eller fornyes av revmatolog = såkalt H-resept</w:t>
      </w:r>
    </w:p>
    <w:p w14:paraId="12DB4FFA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Vanlig startdose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400 mg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subcutant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uke 0, 2 og 4. Deretter en vedlikeholdsdose på 200 mg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sucbutant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hver annen uke.</w:t>
      </w:r>
    </w:p>
    <w:p w14:paraId="0297DD60" w14:textId="77777777" w:rsidR="000F2B78" w:rsidRPr="000F2B78" w:rsidRDefault="000F2B78" w:rsidP="000F2B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Revmatolog kan ved behov måle serumkonsentrasjonen og antistoffer mot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man kan måle dette på tilfeldig tidspunkt der referanseområde er 15-30 mg/L.</w:t>
      </w:r>
    </w:p>
    <w:p w14:paraId="17145E28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3. Generelle bivirkninger av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036CD371" w14:textId="77777777" w:rsidR="000F2B78" w:rsidRPr="000F2B78" w:rsidRDefault="000F2B78" w:rsidP="000F2B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Infeksjoner: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Økt infeksjonsfare. Alvorlige infeksjoner (sepsis) har oppstått. Oftest predisponerende tilstander som diabetes og kronisk lungesykdom.</w:t>
      </w:r>
    </w:p>
    <w:p w14:paraId="00F8554B" w14:textId="77777777" w:rsidR="000F2B78" w:rsidRPr="000F2B78" w:rsidRDefault="000F2B78" w:rsidP="000F2B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Hud: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Utslett på injeksjonsstedet forekommer relativt ofte, men krever sjelden behandling.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Oppbluss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av psoriasis er rapportert. Noe økt fare for melanom.</w:t>
      </w:r>
    </w:p>
    <w:p w14:paraId="51ECDD69" w14:textId="77777777" w:rsidR="000F2B78" w:rsidRPr="000F2B78" w:rsidRDefault="000F2B78" w:rsidP="000F2B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lastRenderedPageBreak/>
        <w:t>Beinmargssuppresjon: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Sjelden, men forekommer.</w:t>
      </w:r>
    </w:p>
    <w:p w14:paraId="06F6E3B6" w14:textId="77777777" w:rsidR="000F2B78" w:rsidRPr="000F2B78" w:rsidRDefault="000F2B78" w:rsidP="000F2B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Andre: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Hodepine, svimmelhet, fordøyelsesbesvær, hoste,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rhinitt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hudkløe..</w:t>
      </w:r>
    </w:p>
    <w:p w14:paraId="488A5E89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4. Blodprøvekontroller ved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7F59880E" w14:textId="77777777" w:rsidR="000F2B78" w:rsidRPr="000F2B78" w:rsidRDefault="000F2B78" w:rsidP="000F2B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Ved oppstart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anbefales blodprøver hos fastlegen 14 dager etter oppstart, deretter månedlig i 3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mnd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og deretter hver 3 måned etter dette.</w:t>
      </w:r>
    </w:p>
    <w:p w14:paraId="28C57C92" w14:textId="77777777" w:rsidR="000F2B78" w:rsidRPr="000F2B78" w:rsidRDefault="000F2B78" w:rsidP="000F2B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Blodprøver som skal tas er CRP,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, hvite med differensialtelling, trombocytter,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, GFR, ASAT, ALAT, ALP og albumin.</w:t>
      </w:r>
    </w:p>
    <w:p w14:paraId="3B48ADB4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Kontakt revmatolog hvis:</w:t>
      </w:r>
    </w:p>
    <w:p w14:paraId="6E3CA2DC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Stigende eller høy CRP som enten tegn på infeksjon eller inflammasjon</w:t>
      </w:r>
    </w:p>
    <w:p w14:paraId="2740D546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Hb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- &lt; 9.0 eller markert fall</w:t>
      </w:r>
    </w:p>
    <w:p w14:paraId="7D42A1F0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Hvite &lt; 0</w:t>
      </w:r>
    </w:p>
    <w:p w14:paraId="004B6748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Nøytofile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grnaulocytter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&lt; 1.5</w:t>
      </w:r>
    </w:p>
    <w:p w14:paraId="67C5E8A1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Trombocytter &lt; 100</w:t>
      </w:r>
    </w:p>
    <w:p w14:paraId="2E7A6087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ALAT/ASAT/ALP &gt; x 2 øvre referanseområde</w:t>
      </w:r>
    </w:p>
    <w:p w14:paraId="27D5DC75" w14:textId="77777777" w:rsidR="000F2B78" w:rsidRPr="000F2B78" w:rsidRDefault="000F2B78" w:rsidP="000F2B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Stigende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kreatinin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fallende GFR</w:t>
      </w:r>
    </w:p>
    <w:p w14:paraId="52773DEF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 xml:space="preserve">5. Viktige generelle råd ved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®</w:t>
      </w:r>
    </w:p>
    <w:p w14:paraId="438FD3F7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Økt infeksjonsfare</w:t>
      </w:r>
    </w:p>
    <w:p w14:paraId="7FC371E9" w14:textId="77777777" w:rsidR="000F2B78" w:rsidRPr="000F2B78" w:rsidRDefault="000F2B78" w:rsidP="000F2B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Skal seponeres ved infeksjon!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 Pasienter på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mer utsatt for infeksjoner, og ved tegn på infeksjon skal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seponeres til infeksjonen er ferdigbehandlet.</w:t>
      </w:r>
    </w:p>
    <w:p w14:paraId="07F5E6EB" w14:textId="77777777" w:rsidR="000F2B78" w:rsidRPr="000F2B78" w:rsidRDefault="000F2B78" w:rsidP="000F2B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Behandlingen bør/skal avbrytes dersom en pasient utvikler en alvorlig infeksjon, en opportunistisk infeksjon eller sepsis.</w:t>
      </w:r>
    </w:p>
    <w:p w14:paraId="7FA86ECE" w14:textId="77777777" w:rsidR="000F2B78" w:rsidRPr="000F2B78" w:rsidRDefault="000F2B78" w:rsidP="000F2B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Vennligst kontakt revmatolog hvis residiverende infeksjoner.</w:t>
      </w:r>
    </w:p>
    <w:p w14:paraId="7BAFBFD5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Seponer hvis:</w:t>
      </w:r>
    </w:p>
    <w:p w14:paraId="205F36E8" w14:textId="77777777" w:rsidR="000F2B78" w:rsidRPr="000F2B78" w:rsidRDefault="000F2B78" w:rsidP="000F2B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påvist kreftsykdom: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 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er kontraindisert ved påvist kreftsykdom. Man kan som en generell regel først re-starte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hvis «kreftfri» i 5 år.</w:t>
      </w:r>
    </w:p>
    <w:p w14:paraId="7FCA24BD" w14:textId="77777777" w:rsidR="000F2B78" w:rsidRPr="000F2B78" w:rsidRDefault="000F2B78" w:rsidP="000F2B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hjertesvikt NYAH klasse III/IV eller EF &lt; 50%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: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er kontraindusert hvis utvikling av hjertesvikt NYAH klasse III/IV eller EF &lt; 50 % under behandling.</w:t>
      </w:r>
    </w:p>
    <w:p w14:paraId="08F06B49" w14:textId="77777777" w:rsidR="000F2B78" w:rsidRPr="000F2B78" w:rsidRDefault="000F2B78" w:rsidP="000F2B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demyeliserende</w:t>
      </w:r>
      <w:proofErr w:type="spellEnd"/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 xml:space="preserve"> sykdom</w:t>
      </w:r>
    </w:p>
    <w:p w14:paraId="0A50967B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Graviditet og amming:</w:t>
      </w:r>
    </w:p>
    <w:p w14:paraId="50A9A0AF" w14:textId="77777777" w:rsidR="000F2B78" w:rsidRPr="000F2B78" w:rsidRDefault="000F2B78" w:rsidP="000F2B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kan benyttes frem til påvist svangerskap hos mor.</w:t>
      </w:r>
    </w:p>
    <w:p w14:paraId="168635AA" w14:textId="77777777" w:rsidR="000F2B78" w:rsidRPr="000F2B78" w:rsidRDefault="000F2B78" w:rsidP="000F2B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Kontakt revmatolog ved påvist graviditet – videre behandling under svangerskap skal avgjøres av revmatolog. Grunnet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sin spesielle oppbygning har det svært liten passasje over placenta (&lt;10%).  </w:t>
      </w:r>
    </w:p>
    <w:p w14:paraId="35C5774D" w14:textId="77777777" w:rsidR="000F2B78" w:rsidRPr="000F2B78" w:rsidRDefault="000F2B78" w:rsidP="000F2B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Fra januar 2018 er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den eneste TNF-hemmer godkjent av legemiddelmyndigheter i EU området for bruk i svangerskap.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har vist liten overgang til morsmelk, og kan benyttes under amming ved indikasjon for behandling av mors sykdom. Det er ingen restriksjoner hos menn som ønsker å bli far.</w:t>
      </w:r>
    </w:p>
    <w:p w14:paraId="737E95D1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Kirurgiske inngrep:</w:t>
      </w:r>
    </w:p>
    <w:p w14:paraId="5A4672C1" w14:textId="77777777" w:rsidR="000F2B78" w:rsidRPr="000F2B78" w:rsidRDefault="000F2B78" w:rsidP="000F2B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® bør seponeres før kirurgiske inngrep.</w:t>
      </w:r>
    </w:p>
    <w:p w14:paraId="5BAD2B75" w14:textId="77777777" w:rsidR="000F2B78" w:rsidRPr="000F2B78" w:rsidRDefault="000F2B78" w:rsidP="000F2B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lastRenderedPageBreak/>
        <w:t>Store kirurgiske inngrep = innsetting av implantater, karkirurgi og kreftkirurgi = 2 uker.</w:t>
      </w:r>
    </w:p>
    <w:p w14:paraId="1D68FD13" w14:textId="77777777" w:rsidR="000F2B78" w:rsidRPr="000F2B78" w:rsidRDefault="000F2B78" w:rsidP="000F2B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Mindre kirurgiske inngrep =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artroskopiske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inngrep og mindre hudoperasjoner = 1 uke.</w:t>
      </w:r>
    </w:p>
    <w:p w14:paraId="5FC18603" w14:textId="77777777" w:rsidR="000F2B78" w:rsidRPr="000F2B78" w:rsidRDefault="000F2B78" w:rsidP="000F2B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bør gjeninnsettes 2 uker post-operativ – forutsett ukomplisert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sårtilheling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og fravær av infeksjon.</w:t>
      </w:r>
    </w:p>
    <w:p w14:paraId="1E3EFF34" w14:textId="77777777" w:rsidR="000F2B78" w:rsidRPr="000F2B78" w:rsidRDefault="000F2B78" w:rsidP="000F2B7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7"/>
          <w:szCs w:val="27"/>
          <w:lang w:eastAsia="nb-NO"/>
        </w:rPr>
        <w:t>Vaksiner</w:t>
      </w:r>
    </w:p>
    <w:p w14:paraId="71D126C2" w14:textId="77777777" w:rsidR="000F2B78" w:rsidRPr="000F2B78" w:rsidRDefault="000F2B78" w:rsidP="000F2B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Calibri" w:eastAsia="Times New Roman" w:hAnsi="Calibri" w:cs="Calibri"/>
          <w:b/>
          <w:bCs/>
          <w:color w:val="373A3C"/>
          <w:sz w:val="24"/>
          <w:szCs w:val="24"/>
          <w:lang w:eastAsia="nb-NO"/>
        </w:rPr>
        <w:t>Ikke-levende vaksiner</w:t>
      </w:r>
      <w:r w:rsidRPr="000F2B78">
        <w:rPr>
          <w:rFonts w:ascii="Calibri" w:eastAsia="Times New Roman" w:hAnsi="Calibri" w:cs="Calibri"/>
          <w:color w:val="373A3C"/>
          <w:sz w:val="24"/>
          <w:szCs w:val="24"/>
          <w:lang w:eastAsia="nb-NO"/>
        </w:rPr>
        <w:t> kan gis og det anbefales minimum </w:t>
      </w:r>
      <w:r w:rsidRPr="000F2B78">
        <w:rPr>
          <w:rFonts w:ascii="Calibri" w:eastAsia="Times New Roman" w:hAnsi="Calibri" w:cs="Calibri"/>
          <w:b/>
          <w:bCs/>
          <w:color w:val="373A3C"/>
          <w:sz w:val="24"/>
          <w:szCs w:val="24"/>
          <w:lang w:eastAsia="nb-NO"/>
        </w:rPr>
        <w:t>influensavaksine årlig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. Man trenger ikke seponere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ved vaksinering, men man bør tilstrebe å sette vaksinen midt mellom to doseringer. Alle som settes på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Cimzia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® får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pneumokokkvaksine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</w:t>
      </w:r>
      <w:proofErr w:type="spellStart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pneumovax</w:t>
      </w:r>
      <w:proofErr w:type="spellEnd"/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 xml:space="preserve"> (PPV23) før oppstart, og siden hvert 10ende år. </w:t>
      </w:r>
    </w:p>
    <w:p w14:paraId="7FC8DB81" w14:textId="77777777" w:rsidR="000F2B78" w:rsidRPr="000F2B78" w:rsidRDefault="000F2B78" w:rsidP="000F2B7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b/>
          <w:bCs/>
          <w:color w:val="373A3C"/>
          <w:sz w:val="21"/>
          <w:szCs w:val="21"/>
          <w:lang w:eastAsia="nb-NO"/>
        </w:rPr>
        <w:t>Levende, svekkede vaksiner er kontraindisert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: Hvis behov for å gi slike vaksiner skal infeksjonslege kontaktes.</w:t>
      </w:r>
    </w:p>
    <w:p w14:paraId="5799EDF4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Kontaktinformasjon</w:t>
      </w:r>
    </w:p>
    <w:p w14:paraId="474AA0DA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SKULLE DET VÆRE SPØRSMÅL KAN REVMATOLOGISK AVDELING KONTAKTES</w:t>
      </w:r>
    </w:p>
    <w:p w14:paraId="1509A4AA" w14:textId="77777777" w:rsidR="000F2B78" w:rsidRPr="000F2B78" w:rsidRDefault="000F2B78" w:rsidP="000F2B7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36"/>
          <w:szCs w:val="36"/>
          <w:lang w:eastAsia="nb-NO"/>
        </w:rPr>
        <w:t>Kilder:</w:t>
      </w:r>
    </w:p>
    <w:p w14:paraId="2DFEBC97" w14:textId="77777777" w:rsidR="000F2B78" w:rsidRPr="000F2B78" w:rsidRDefault="000F2B78" w:rsidP="000F2B78">
      <w:pPr>
        <w:spacing w:after="0" w:line="240" w:lineRule="auto"/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</w:pP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t>1. Rutiner ved oppstart og oppfølging av behandling med biologiske medikamenter – Norsk Revmatologisk Forening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2. Nasjonal prosedyre for diagnostikk, behandling og oppfølging av revmatoid artritt i Norge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3. Veileder i svangerskap og revmatiske sykdommer</w:t>
      </w:r>
      <w:r w:rsidRPr="000F2B78">
        <w:rPr>
          <w:rFonts w:ascii="Times New Roman" w:eastAsia="Times New Roman" w:hAnsi="Times New Roman" w:cs="Times New Roman"/>
          <w:color w:val="373A3C"/>
          <w:sz w:val="21"/>
          <w:szCs w:val="21"/>
          <w:lang w:eastAsia="nb-NO"/>
        </w:rPr>
        <w:br/>
        <w:t>4. Medikamentark UNN</w:t>
      </w:r>
    </w:p>
    <w:p w14:paraId="726BE1DE" w14:textId="77777777" w:rsidR="00785ECF" w:rsidRPr="000F2B78" w:rsidRDefault="00731818" w:rsidP="000F2B78"/>
    <w:sectPr w:rsidR="00785ECF" w:rsidRPr="000F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D1F"/>
    <w:multiLevelType w:val="multilevel"/>
    <w:tmpl w:val="3C7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4C7B"/>
    <w:multiLevelType w:val="multilevel"/>
    <w:tmpl w:val="C10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9FE"/>
    <w:multiLevelType w:val="multilevel"/>
    <w:tmpl w:val="570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42DCC"/>
    <w:multiLevelType w:val="multilevel"/>
    <w:tmpl w:val="73C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4739A"/>
    <w:multiLevelType w:val="multilevel"/>
    <w:tmpl w:val="6C9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512D1"/>
    <w:multiLevelType w:val="multilevel"/>
    <w:tmpl w:val="3BA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752D1"/>
    <w:multiLevelType w:val="multilevel"/>
    <w:tmpl w:val="CF2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15784"/>
    <w:multiLevelType w:val="multilevel"/>
    <w:tmpl w:val="673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71E30"/>
    <w:multiLevelType w:val="multilevel"/>
    <w:tmpl w:val="A79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B39AD"/>
    <w:multiLevelType w:val="multilevel"/>
    <w:tmpl w:val="D51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272E3"/>
    <w:multiLevelType w:val="multilevel"/>
    <w:tmpl w:val="5A9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C6E49"/>
    <w:multiLevelType w:val="multilevel"/>
    <w:tmpl w:val="5C5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00084"/>
    <w:multiLevelType w:val="multilevel"/>
    <w:tmpl w:val="FE6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2411B"/>
    <w:multiLevelType w:val="multilevel"/>
    <w:tmpl w:val="FAAE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16C4B"/>
    <w:multiLevelType w:val="multilevel"/>
    <w:tmpl w:val="986A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D64FA"/>
    <w:multiLevelType w:val="multilevel"/>
    <w:tmpl w:val="4CB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3719D"/>
    <w:multiLevelType w:val="multilevel"/>
    <w:tmpl w:val="EAE4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F52A0"/>
    <w:multiLevelType w:val="multilevel"/>
    <w:tmpl w:val="284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6605C"/>
    <w:multiLevelType w:val="multilevel"/>
    <w:tmpl w:val="0E6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21CF3"/>
    <w:multiLevelType w:val="multilevel"/>
    <w:tmpl w:val="A9B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429C"/>
    <w:multiLevelType w:val="multilevel"/>
    <w:tmpl w:val="38CA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443B2"/>
    <w:multiLevelType w:val="multilevel"/>
    <w:tmpl w:val="8E3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144EE"/>
    <w:multiLevelType w:val="multilevel"/>
    <w:tmpl w:val="67FC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857274">
    <w:abstractNumId w:val="3"/>
  </w:num>
  <w:num w:numId="2" w16cid:durableId="1205020706">
    <w:abstractNumId w:val="6"/>
  </w:num>
  <w:num w:numId="3" w16cid:durableId="1594776774">
    <w:abstractNumId w:val="7"/>
  </w:num>
  <w:num w:numId="4" w16cid:durableId="1585840981">
    <w:abstractNumId w:val="16"/>
  </w:num>
  <w:num w:numId="5" w16cid:durableId="367684930">
    <w:abstractNumId w:val="1"/>
  </w:num>
  <w:num w:numId="6" w16cid:durableId="1436485607">
    <w:abstractNumId w:val="12"/>
  </w:num>
  <w:num w:numId="7" w16cid:durableId="1282344466">
    <w:abstractNumId w:val="2"/>
  </w:num>
  <w:num w:numId="8" w16cid:durableId="244648883">
    <w:abstractNumId w:val="10"/>
  </w:num>
  <w:num w:numId="9" w16cid:durableId="2090805732">
    <w:abstractNumId w:val="8"/>
  </w:num>
  <w:num w:numId="10" w16cid:durableId="966740565">
    <w:abstractNumId w:val="5"/>
  </w:num>
  <w:num w:numId="11" w16cid:durableId="1759209442">
    <w:abstractNumId w:val="17"/>
  </w:num>
  <w:num w:numId="12" w16cid:durableId="127625501">
    <w:abstractNumId w:val="11"/>
  </w:num>
  <w:num w:numId="13" w16cid:durableId="950161549">
    <w:abstractNumId w:val="4"/>
  </w:num>
  <w:num w:numId="14" w16cid:durableId="1423987455">
    <w:abstractNumId w:val="13"/>
  </w:num>
  <w:num w:numId="15" w16cid:durableId="1259943852">
    <w:abstractNumId w:val="14"/>
  </w:num>
  <w:num w:numId="16" w16cid:durableId="263269261">
    <w:abstractNumId w:val="9"/>
  </w:num>
  <w:num w:numId="17" w16cid:durableId="146020737">
    <w:abstractNumId w:val="19"/>
  </w:num>
  <w:num w:numId="18" w16cid:durableId="712927904">
    <w:abstractNumId w:val="18"/>
  </w:num>
  <w:num w:numId="19" w16cid:durableId="1236475492">
    <w:abstractNumId w:val="22"/>
  </w:num>
  <w:num w:numId="20" w16cid:durableId="690109490">
    <w:abstractNumId w:val="15"/>
  </w:num>
  <w:num w:numId="21" w16cid:durableId="437991436">
    <w:abstractNumId w:val="21"/>
  </w:num>
  <w:num w:numId="22" w16cid:durableId="1857310229">
    <w:abstractNumId w:val="20"/>
  </w:num>
  <w:num w:numId="23" w16cid:durableId="82735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9"/>
    <w:rsid w:val="000F2B78"/>
    <w:rsid w:val="001252C2"/>
    <w:rsid w:val="00243B75"/>
    <w:rsid w:val="009A07C8"/>
    <w:rsid w:val="00A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3D8"/>
  <w15:chartTrackingRefBased/>
  <w15:docId w15:val="{4ADDFEEE-43FE-483F-9DB3-9DA97FC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45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4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45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5BB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5BB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45BB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4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45BB9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45BB9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A45BB9"/>
    <w:rPr>
      <w:i/>
      <w:iCs/>
    </w:rPr>
  </w:style>
  <w:style w:type="character" w:customStyle="1" w:styleId="v-bar">
    <w:name w:val="v-bar"/>
    <w:basedOn w:val="Standardskriftforavsnitt"/>
    <w:rsid w:val="00A45BB9"/>
  </w:style>
  <w:style w:type="character" w:customStyle="1" w:styleId="entry-meta-item">
    <w:name w:val="entry-meta-item"/>
    <w:basedOn w:val="Standardskriftforavsnitt"/>
    <w:rsid w:val="00A4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851915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1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9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671716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3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5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1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3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1.samnet.no/fagbibliotek/cimazia/" TargetMode="External"/><Relationship Id="rId13" Type="http://schemas.openxmlformats.org/officeDocument/2006/relationships/hyperlink" Target="https://01.samnet.no/fagbibliotek/cimaz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01.samnet.no/fagbibliotek/cimazia/" TargetMode="External"/><Relationship Id="rId12" Type="http://schemas.openxmlformats.org/officeDocument/2006/relationships/hyperlink" Target="https://01.samnet.no/fagbibliotek/cimazia/" TargetMode="External"/><Relationship Id="rId17" Type="http://schemas.openxmlformats.org/officeDocument/2006/relationships/hyperlink" Target="https://01.samnet.no/fagbibliotek/cimaz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01.samnet.no/fagbibliotek/cimaz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01.samnet.no/fagbibliotek/cimazia/" TargetMode="External"/><Relationship Id="rId11" Type="http://schemas.openxmlformats.org/officeDocument/2006/relationships/hyperlink" Target="https://01.samnet.no/fagbibliotek/cimazia/" TargetMode="External"/><Relationship Id="rId5" Type="http://schemas.openxmlformats.org/officeDocument/2006/relationships/hyperlink" Target="https://01.samnet.no/fagbibliotek/cimazia/" TargetMode="External"/><Relationship Id="rId15" Type="http://schemas.openxmlformats.org/officeDocument/2006/relationships/hyperlink" Target="https://01.samnet.no/fagbibliotek/cimazia/" TargetMode="External"/><Relationship Id="rId10" Type="http://schemas.openxmlformats.org/officeDocument/2006/relationships/hyperlink" Target="https://01.samnet.no/fagbibliotek/cimaz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01.samnet.no/fagbibliotek/cimazia/" TargetMode="External"/><Relationship Id="rId14" Type="http://schemas.openxmlformats.org/officeDocument/2006/relationships/hyperlink" Target="https://01.samnet.no/fagbibliotek/cimazi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2</cp:revision>
  <dcterms:created xsi:type="dcterms:W3CDTF">2022-10-05T11:25:00Z</dcterms:created>
  <dcterms:modified xsi:type="dcterms:W3CDTF">2022-10-05T11:25:00Z</dcterms:modified>
</cp:coreProperties>
</file>