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F5A7" w14:textId="77777777" w:rsidR="0006332E" w:rsidRPr="0006332E" w:rsidRDefault="0006332E" w:rsidP="0006332E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06332E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ORENCIA®</w:t>
      </w:r>
    </w:p>
    <w:p w14:paraId="22F2E88D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Calibri" w:eastAsia="Times New Roman" w:hAnsi="Calibri" w:cs="Calibri"/>
          <w:color w:val="373A3C"/>
          <w:sz w:val="28"/>
          <w:szCs w:val="28"/>
          <w:lang w:eastAsia="nb-NO"/>
        </w:rPr>
        <w:t>ABATACEPT = ORENCIA®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</w: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5BD03DBE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ansvarsforhold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ansvarsforhold:</w:t>
        </w:r>
      </w:hyperlink>
    </w:p>
    <w:p w14:paraId="5EDD77AA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Orencia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2. Virkningsmekanisme og dosering av </w:t>
        </w:r>
        <w:proofErr w:type="spellStart"/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Orencia</w:t>
        </w:r>
        <w:proofErr w:type="spellEnd"/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7144A632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Orencia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3. Generelle bivirkninger av </w:t>
        </w:r>
        <w:proofErr w:type="spellStart"/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Orencia</w:t>
        </w:r>
        <w:proofErr w:type="spellEnd"/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71A8CC83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4++Blodpr+vekontroller+ved+Orencia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4. Blodprøvekontroller ved </w:t>
        </w:r>
        <w:proofErr w:type="spellStart"/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Orencia</w:t>
        </w:r>
        <w:proofErr w:type="spellEnd"/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73BAC3A2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Kontakt+revmatolog+hvis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hvis:</w:t>
        </w:r>
      </w:hyperlink>
    </w:p>
    <w:p w14:paraId="5EF01C67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5. Viktige generelle råd</w:t>
        </w:r>
      </w:hyperlink>
    </w:p>
    <w:p w14:paraId="3C7E93AE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+kt+infeksjonsfare+og+skal+seponeres+ved+infeksjon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Økt infeksjonsfare og skal seponeres ved infeksjon</w:t>
        </w:r>
      </w:hyperlink>
    </w:p>
    <w:p w14:paraId="5EF44224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Seponer+hvis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 hvis:</w:t>
        </w:r>
      </w:hyperlink>
    </w:p>
    <w:p w14:paraId="5B9A474D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Kontraindusert+ved+graviditet+og+amming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Kontraindusert ved graviditet og amming</w:t>
        </w:r>
      </w:hyperlink>
    </w:p>
    <w:p w14:paraId="48AE4836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Interaksjoner+med+andre+medisiner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Interaksjoner med andre medisiner</w:t>
        </w:r>
      </w:hyperlink>
    </w:p>
    <w:p w14:paraId="61152764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Kirurgiske+inngrep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inngrep:</w:t>
        </w:r>
      </w:hyperlink>
    </w:p>
    <w:p w14:paraId="03951720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Vaksiner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</w:t>
        </w:r>
      </w:hyperlink>
    </w:p>
    <w:p w14:paraId="09A4DA67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Kontaktinformasjon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</w:t>
        </w:r>
      </w:hyperlink>
    </w:p>
    <w:p w14:paraId="145B689A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8" w:anchor="Kilder+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11C8A4DB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3B193B91">
          <v:rect id="_x0000_i1025" style="width:0;height:0" o:hralign="center" o:hrstd="t" o:hr="t" fillcolor="#a0a0a0" stroked="f"/>
        </w:pict>
      </w:r>
    </w:p>
    <w:p w14:paraId="59690EEB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ansvarsforhold:</w:t>
      </w:r>
    </w:p>
    <w:p w14:paraId="2E6E3167" w14:textId="77777777" w:rsidR="0006332E" w:rsidRPr="0006332E" w:rsidRDefault="0006332E" w:rsidP="0006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546A02B3" w14:textId="77777777" w:rsidR="0006332E" w:rsidRPr="0006332E" w:rsidRDefault="0006332E" w:rsidP="0006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01F67568" w14:textId="77777777" w:rsidR="0006332E" w:rsidRPr="0006332E" w:rsidRDefault="0006332E" w:rsidP="0006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Orenica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 Pasienten har fått utlevert informasjonsark fra Norsk Revmatologisk Forening ang preparatet.</w:t>
      </w:r>
    </w:p>
    <w:p w14:paraId="6702CB3B" w14:textId="77777777" w:rsidR="0006332E" w:rsidRPr="0006332E" w:rsidRDefault="0006332E" w:rsidP="0006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713B75F8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11298C47" w14:textId="77777777" w:rsidR="0006332E" w:rsidRPr="0006332E" w:rsidRDefault="0006332E" w:rsidP="0006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klassifisert som et biologisk legemiddel, mer spesifikt en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selktiv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modulator av T-celle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kostimulering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 Litt forenklet blokkeres effekten av CD-4 celler som er et nøkkelsignal for full aktivering av T-lymfocytter. Dette medfører demping av betennelses- og immunceller.</w:t>
      </w:r>
    </w:p>
    <w:p w14:paraId="01F749E7" w14:textId="77777777" w:rsidR="0006332E" w:rsidRPr="0006332E" w:rsidRDefault="0006332E" w:rsidP="0006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har en halveringstid på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2 uker.</w:t>
      </w:r>
    </w:p>
    <w:p w14:paraId="06DAC8B0" w14:textId="77777777" w:rsidR="0006332E" w:rsidRPr="0006332E" w:rsidRDefault="0006332E" w:rsidP="0006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brukes alene eller i kombinasjon med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methotrexat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(MTX) til behandling av moderat til alvorlig aktiv revmatoid artritt hos voksne som har respondert utilstrekkelig på eller er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intolerente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ovenfor ett eller flere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  Ofte kombineres medikamentene for å potensere virkningen og for å forhindre antistoffdannelse. Effekten vurderes etter 3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behandling.</w:t>
      </w:r>
    </w:p>
    <w:p w14:paraId="1251AA09" w14:textId="77777777" w:rsidR="0006332E" w:rsidRPr="0006332E" w:rsidRDefault="0006332E" w:rsidP="0006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inntrer som regel raskt og øker de første 2-3 mnd. Ved manglende effekt innen 3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61F4D82D" w14:textId="77777777" w:rsidR="0006332E" w:rsidRPr="0006332E" w:rsidRDefault="0006332E" w:rsidP="0006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kun forskrives eller fornyes av revmatolog = såkalt H-resept.</w:t>
      </w:r>
    </w:p>
    <w:p w14:paraId="09161ACB" w14:textId="77777777" w:rsidR="0006332E" w:rsidRPr="0006332E" w:rsidRDefault="0006332E" w:rsidP="0006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både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taes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subkutant og intravenøst</w:t>
      </w:r>
    </w:p>
    <w:p w14:paraId="300E90D9" w14:textId="77777777" w:rsidR="0006332E" w:rsidRPr="0006332E" w:rsidRDefault="0006332E" w:rsidP="00063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Subkutant: 125 mg ukentlig</w:t>
      </w:r>
    </w:p>
    <w:p w14:paraId="39D7AA07" w14:textId="77777777" w:rsidR="0006332E" w:rsidRPr="0006332E" w:rsidRDefault="0006332E" w:rsidP="00063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Intravenøst: Doseres etter vekt. I oppstarten med 2 ukers mellomrom første måned, deretter med 4 ukers mellomrom avhengig av vekt.</w:t>
      </w:r>
    </w:p>
    <w:p w14:paraId="21A2962D" w14:textId="77777777" w:rsidR="0006332E" w:rsidRPr="0006332E" w:rsidRDefault="0006332E" w:rsidP="0006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Revmatolog kan ved behov måle serumkonsentrasjonen og antistoffer av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- man måler da bunnkonsentrasjon der referanseområde er 10-25 mg/L.</w:t>
      </w:r>
    </w:p>
    <w:p w14:paraId="756808B2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lastRenderedPageBreak/>
        <w:t xml:space="preserve">3. Generelle bivirkninger av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33229864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Infeksjoner: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Luftveis-, urinveis-, hud- og tannrots infeksjoner</w:t>
      </w:r>
    </w:p>
    <w:p w14:paraId="513CF464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Benmargsdepresjon: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(sjelden) Anemi.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Leukopeni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Trombocytopeni</w:t>
      </w:r>
      <w:proofErr w:type="spellEnd"/>
    </w:p>
    <w:p w14:paraId="2A7885C8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Leverpåvirkning: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Forhøyede leverenzymer</w:t>
      </w:r>
    </w:p>
    <w:p w14:paraId="6CB1213F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Hypertensjon</w:t>
      </w:r>
    </w:p>
    <w:p w14:paraId="625554B0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Hyperkolesterolemi</w:t>
      </w:r>
    </w:p>
    <w:p w14:paraId="7E9EC5DE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Hudutslett og kløe</w:t>
      </w:r>
    </w:p>
    <w:p w14:paraId="2C19BF00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Gastrointestinale: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Magesmerter. Kvalme. Dyspepsi. Diare.</w:t>
      </w:r>
    </w:p>
    <w:p w14:paraId="72C12575" w14:textId="77777777" w:rsidR="0006332E" w:rsidRPr="0006332E" w:rsidRDefault="0006332E" w:rsidP="00063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Falsk forhøyede blodsukkerverdier ved infusjoner: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infusjoner kan gi falskt forhøyede verdier av blodsukker de dagene pasienten får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Orenica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infusjoner. Dette skyldes innhold av maltose i infusjonene</w:t>
      </w:r>
    </w:p>
    <w:p w14:paraId="76C6FE20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4. Blodprøvekontroller ved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4B0FFEF2" w14:textId="77777777" w:rsidR="0006332E" w:rsidRPr="0006332E" w:rsidRDefault="0006332E" w:rsidP="000633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anbefales blodprøver hos fastlegen 14 dager etter oppstart, deretter månedlig i 3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 etter dette.</w:t>
      </w:r>
    </w:p>
    <w:p w14:paraId="3FB4645A" w14:textId="77777777" w:rsidR="0006332E" w:rsidRPr="0006332E" w:rsidRDefault="0006332E" w:rsidP="000633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ALAT, ALP og albumin.  </w:t>
      </w:r>
    </w:p>
    <w:p w14:paraId="067AB3C1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2C4EAB89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611777FD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reduksjon på &gt; 2</w:t>
      </w:r>
    </w:p>
    <w:p w14:paraId="5C632137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0</w:t>
      </w:r>
    </w:p>
    <w:p w14:paraId="61FE21EE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Nøytrofile granulocytter &lt; 1.5</w:t>
      </w:r>
    </w:p>
    <w:p w14:paraId="6D689754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6082529F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02A88731" w14:textId="77777777" w:rsidR="0006332E" w:rsidRPr="0006332E" w:rsidRDefault="0006332E" w:rsidP="00063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165705B8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5. Viktige generelle råd</w:t>
      </w:r>
    </w:p>
    <w:p w14:paraId="2383300D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Økt infeksjonsfare og skal seponeres ved infeksjon</w:t>
      </w:r>
    </w:p>
    <w:p w14:paraId="7AD722C8" w14:textId="77777777" w:rsidR="0006332E" w:rsidRPr="0006332E" w:rsidRDefault="0006332E" w:rsidP="000633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Pasienter på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®er mer utsatt for infeksjoner, og ved tegn på infeksjon skal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seponeres til infeksjonen er ferdigbehandlet. Dette gjelder også lokaliserte infeksjoner.</w:t>
      </w:r>
    </w:p>
    <w:p w14:paraId="2A5E5E79" w14:textId="77777777" w:rsidR="0006332E" w:rsidRPr="0006332E" w:rsidRDefault="0006332E" w:rsidP="000633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Kontakt revmatolog hvis residiverende infeksjoner. Behandlingen bør/skal avbrytes dersom </w:t>
      </w:r>
      <w:proofErr w:type="gram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en pasienten</w:t>
      </w:r>
      <w:proofErr w:type="gram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utvikler en alvorlig infeksjon, en opportunistisk infeksjon eller sepsis.</w:t>
      </w:r>
    </w:p>
    <w:p w14:paraId="015B1FB4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 hvis:</w:t>
      </w:r>
    </w:p>
    <w:p w14:paraId="1FDBE468" w14:textId="77777777" w:rsidR="0006332E" w:rsidRPr="0006332E" w:rsidRDefault="0006332E" w:rsidP="00063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påvist kreftsykdom: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muligens påvirke pasientens forsvar mot </w:t>
      </w:r>
      <w:proofErr w:type="spellStart"/>
      <w:proofErr w:type="gram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malignitet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.</w:t>
      </w:r>
      <w:proofErr w:type="gram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Hvis pasienten utvikler kreftsykdom under behandling ta kontakt med revmatolog for vurdering.</w:t>
      </w:r>
    </w:p>
    <w:p w14:paraId="51D61D1C" w14:textId="77777777" w:rsidR="0006332E" w:rsidRPr="0006332E" w:rsidRDefault="0006332E" w:rsidP="00063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demyelierende</w:t>
      </w:r>
      <w:proofErr w:type="spellEnd"/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sykdom</w:t>
      </w:r>
    </w:p>
    <w:p w14:paraId="1E278A69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Kontraindusert ved graviditet og amming</w:t>
      </w:r>
    </w:p>
    <w:p w14:paraId="6DF5A805" w14:textId="77777777" w:rsidR="0006332E" w:rsidRPr="0006332E" w:rsidRDefault="0006332E" w:rsidP="00063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kontraindusert hos gravide. Fertile kvinner bør rådes til å bruke sikker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prevansion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under behandling og i minst 3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etter siste dose.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kontraindusert under amming.</w:t>
      </w:r>
    </w:p>
    <w:p w14:paraId="043BCBC5" w14:textId="77777777" w:rsidR="0006332E" w:rsidRPr="0006332E" w:rsidRDefault="0006332E" w:rsidP="00063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Det finnes ingen god dokumentasjon på om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påvirke sædcellene og det foreligger ingen holdepunkter for fosterskade ved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paterenell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bruk, og menn som ønsker å bli far kan fortsette med behandlingen</w:t>
      </w:r>
    </w:p>
    <w:p w14:paraId="0504F31A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lastRenderedPageBreak/>
        <w:t>Interaksjoner med andre medisiner</w:t>
      </w:r>
    </w:p>
    <w:p w14:paraId="29EED835" w14:textId="77777777" w:rsidR="0006332E" w:rsidRPr="0006332E" w:rsidRDefault="0006332E" w:rsidP="000633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gir økt infeksjonsfare og bør helst ikke kombineres med andre immundempende unntaket er MTX som kan vurderes i kombinasjon.</w:t>
      </w:r>
    </w:p>
    <w:p w14:paraId="4AE91FBA" w14:textId="77777777" w:rsidR="0006332E" w:rsidRPr="0006332E" w:rsidRDefault="0006332E" w:rsidP="000633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interagerer med medisiner - sjekk </w:t>
      </w:r>
      <w:hyperlink r:id="rId19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www.interaksjoner.no</w:t>
        </w:r>
      </w:hyperlink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ved oppstart av nye medisiner</w:t>
      </w:r>
    </w:p>
    <w:p w14:paraId="6C72FE6E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inngrep:</w:t>
      </w:r>
    </w:p>
    <w:p w14:paraId="1297B654" w14:textId="77777777" w:rsidR="0006332E" w:rsidRPr="0006332E" w:rsidRDefault="0006332E" w:rsidP="000633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seponeres før kirurgiske inngrep. Hvor lenge før avhenger av om pasienten får preparatet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eller intravenøst.</w:t>
      </w:r>
    </w:p>
    <w:p w14:paraId="613A6B70" w14:textId="77777777" w:rsidR="0006332E" w:rsidRPr="0006332E" w:rsidRDefault="0006332E" w:rsidP="000633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gjeninnsettes 2 uker post-operativ – forutsett ukomplisert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 Dette gjelder både om preparatet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taes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eller intravenøst.</w:t>
      </w:r>
    </w:p>
    <w:p w14:paraId="19388700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-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</w:t>
      </w:r>
    </w:p>
    <w:p w14:paraId="289FC047" w14:textId="77777777" w:rsidR="0006332E" w:rsidRPr="0006332E" w:rsidRDefault="0006332E" w:rsidP="000633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2 uker.</w:t>
      </w:r>
    </w:p>
    <w:p w14:paraId="13A01CE4" w14:textId="77777777" w:rsidR="0006332E" w:rsidRPr="0006332E" w:rsidRDefault="0006332E" w:rsidP="000633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1 uke.</w:t>
      </w:r>
    </w:p>
    <w:p w14:paraId="00811A0B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Intravenøst -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</w:t>
      </w:r>
    </w:p>
    <w:p w14:paraId="73D0C8D9" w14:textId="77777777" w:rsidR="0006332E" w:rsidRPr="0006332E" w:rsidRDefault="0006332E" w:rsidP="000633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4 uker.</w:t>
      </w:r>
    </w:p>
    <w:p w14:paraId="2BB61728" w14:textId="77777777" w:rsidR="0006332E" w:rsidRPr="0006332E" w:rsidRDefault="0006332E" w:rsidP="000633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2 uker.</w:t>
      </w:r>
    </w:p>
    <w:p w14:paraId="03A33553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</w:t>
      </w:r>
    </w:p>
    <w:p w14:paraId="274151D3" w14:textId="77777777" w:rsidR="0006332E" w:rsidRPr="0006332E" w:rsidRDefault="0006332E" w:rsidP="00063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Ikke-levende vaksiner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kan gis og det anbefales minimum influensavaksine årlig. Alle som settes på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Orencia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får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 10ende år. </w:t>
      </w:r>
    </w:p>
    <w:p w14:paraId="0FECC6A0" w14:textId="77777777" w:rsidR="0006332E" w:rsidRPr="0006332E" w:rsidRDefault="0006332E" w:rsidP="00063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Levende, svekkede vaksiner er kontraindusert: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Hvis behov for å gi slike vaksiner skal infeksjonslege kontaktes</w:t>
      </w:r>
    </w:p>
    <w:p w14:paraId="098C99BB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71F257D9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79211385" w14:textId="77777777" w:rsidR="0006332E" w:rsidRPr="0006332E" w:rsidRDefault="0006332E" w:rsidP="000633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04F6C08B" w14:textId="77777777" w:rsidR="0006332E" w:rsidRPr="0006332E" w:rsidRDefault="0006332E" w:rsidP="0006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1. Nasjonal prosedyre for diagnostikk, behandling og oppfølging av revmatoid artritt i Norge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2. Veileder i svangerskap og revmatiske sykdommer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3. Felleskatalogen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4. Medikamentark UNN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 </w:t>
      </w:r>
    </w:p>
    <w:p w14:paraId="09454547" w14:textId="77777777" w:rsidR="0006332E" w:rsidRPr="0006332E" w:rsidRDefault="0006332E" w:rsidP="0006332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20" w:tgtFrame="_self" w:history="1">
        <w:r w:rsidRPr="0006332E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04.04.2019</w:t>
      </w:r>
      <w:r w:rsidRPr="0006332E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417F71C9" w14:textId="77777777" w:rsidR="0006332E" w:rsidRPr="0006332E" w:rsidRDefault="0006332E" w:rsidP="0006332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06332E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7FE0B596" w14:textId="77777777" w:rsidR="00785ECF" w:rsidRDefault="0006332E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3F4"/>
    <w:multiLevelType w:val="multilevel"/>
    <w:tmpl w:val="633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509EA"/>
    <w:multiLevelType w:val="multilevel"/>
    <w:tmpl w:val="2F3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F7C45"/>
    <w:multiLevelType w:val="multilevel"/>
    <w:tmpl w:val="8D4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B3187"/>
    <w:multiLevelType w:val="multilevel"/>
    <w:tmpl w:val="AB9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00"/>
    <w:multiLevelType w:val="multilevel"/>
    <w:tmpl w:val="7B5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213DC"/>
    <w:multiLevelType w:val="multilevel"/>
    <w:tmpl w:val="2AF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C1463"/>
    <w:multiLevelType w:val="multilevel"/>
    <w:tmpl w:val="764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3466C"/>
    <w:multiLevelType w:val="multilevel"/>
    <w:tmpl w:val="C7F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972B2"/>
    <w:multiLevelType w:val="multilevel"/>
    <w:tmpl w:val="CFA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71660"/>
    <w:multiLevelType w:val="multilevel"/>
    <w:tmpl w:val="1A1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167A2"/>
    <w:multiLevelType w:val="multilevel"/>
    <w:tmpl w:val="071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A5B36"/>
    <w:multiLevelType w:val="multilevel"/>
    <w:tmpl w:val="D46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52AAC"/>
    <w:multiLevelType w:val="multilevel"/>
    <w:tmpl w:val="7E8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36E34"/>
    <w:multiLevelType w:val="multilevel"/>
    <w:tmpl w:val="FCD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75BC4"/>
    <w:multiLevelType w:val="multilevel"/>
    <w:tmpl w:val="59F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897985">
    <w:abstractNumId w:val="12"/>
  </w:num>
  <w:num w:numId="2" w16cid:durableId="1994017078">
    <w:abstractNumId w:val="1"/>
  </w:num>
  <w:num w:numId="3" w16cid:durableId="1602374949">
    <w:abstractNumId w:val="4"/>
  </w:num>
  <w:num w:numId="4" w16cid:durableId="1399019216">
    <w:abstractNumId w:val="2"/>
  </w:num>
  <w:num w:numId="5" w16cid:durableId="843016475">
    <w:abstractNumId w:val="7"/>
  </w:num>
  <w:num w:numId="6" w16cid:durableId="2066443624">
    <w:abstractNumId w:val="3"/>
  </w:num>
  <w:num w:numId="7" w16cid:durableId="118231923">
    <w:abstractNumId w:val="10"/>
  </w:num>
  <w:num w:numId="8" w16cid:durableId="1393848037">
    <w:abstractNumId w:val="5"/>
  </w:num>
  <w:num w:numId="9" w16cid:durableId="641539118">
    <w:abstractNumId w:val="13"/>
  </w:num>
  <w:num w:numId="10" w16cid:durableId="1322276604">
    <w:abstractNumId w:val="11"/>
  </w:num>
  <w:num w:numId="11" w16cid:durableId="966085363">
    <w:abstractNumId w:val="0"/>
  </w:num>
  <w:num w:numId="12" w16cid:durableId="138424933">
    <w:abstractNumId w:val="9"/>
  </w:num>
  <w:num w:numId="13" w16cid:durableId="2039892151">
    <w:abstractNumId w:val="6"/>
  </w:num>
  <w:num w:numId="14" w16cid:durableId="1340616130">
    <w:abstractNumId w:val="8"/>
  </w:num>
  <w:num w:numId="15" w16cid:durableId="965234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E"/>
    <w:rsid w:val="0006332E"/>
    <w:rsid w:val="001252C2"/>
    <w:rsid w:val="00243B75"/>
    <w:rsid w:val="00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A5EA"/>
  <w15:chartTrackingRefBased/>
  <w15:docId w15:val="{158824AE-2500-45C4-BDB3-6A726906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3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6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06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332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32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332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6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332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6332E"/>
    <w:rPr>
      <w:color w:val="0000FF"/>
      <w:u w:val="single"/>
    </w:rPr>
  </w:style>
  <w:style w:type="character" w:customStyle="1" w:styleId="v-bar">
    <w:name w:val="v-bar"/>
    <w:basedOn w:val="Standardskriftforavsnitt"/>
    <w:rsid w:val="0006332E"/>
  </w:style>
  <w:style w:type="character" w:customStyle="1" w:styleId="entry-meta-item">
    <w:name w:val="entry-meta-item"/>
    <w:basedOn w:val="Standardskriftforavsnitt"/>
    <w:rsid w:val="0006332E"/>
  </w:style>
  <w:style w:type="paragraph" w:customStyle="1" w:styleId="mb-0">
    <w:name w:val="mb-0"/>
    <w:basedOn w:val="Normal"/>
    <w:rsid w:val="0006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46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207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3356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9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9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1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558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68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59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28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3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752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153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49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20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orencia/" TargetMode="External"/><Relationship Id="rId13" Type="http://schemas.openxmlformats.org/officeDocument/2006/relationships/hyperlink" Target="https://01.samnet.no/fagbibliotek/orencia/" TargetMode="External"/><Relationship Id="rId18" Type="http://schemas.openxmlformats.org/officeDocument/2006/relationships/hyperlink" Target="https://01.samnet.no/fagbibliotek/orenci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01.samnet.no/fagbibliotek/orencia/" TargetMode="External"/><Relationship Id="rId12" Type="http://schemas.openxmlformats.org/officeDocument/2006/relationships/hyperlink" Target="https://01.samnet.no/fagbibliotek/orencia/" TargetMode="External"/><Relationship Id="rId17" Type="http://schemas.openxmlformats.org/officeDocument/2006/relationships/hyperlink" Target="https://01.samnet.no/fagbibliotek/orenc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orencia/" TargetMode="External"/><Relationship Id="rId20" Type="http://schemas.openxmlformats.org/officeDocument/2006/relationships/hyperlink" Target="https://samnet.no/profil/3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orencia/" TargetMode="External"/><Relationship Id="rId11" Type="http://schemas.openxmlformats.org/officeDocument/2006/relationships/hyperlink" Target="https://01.samnet.no/fagbibliotek/orencia/" TargetMode="External"/><Relationship Id="rId5" Type="http://schemas.openxmlformats.org/officeDocument/2006/relationships/hyperlink" Target="https://01.samnet.no/fagbibliotek/orencia/" TargetMode="External"/><Relationship Id="rId15" Type="http://schemas.openxmlformats.org/officeDocument/2006/relationships/hyperlink" Target="https://01.samnet.no/fagbibliotek/orencia/" TargetMode="External"/><Relationship Id="rId10" Type="http://schemas.openxmlformats.org/officeDocument/2006/relationships/hyperlink" Target="https://01.samnet.no/fagbibliotek/orencia/" TargetMode="External"/><Relationship Id="rId19" Type="http://schemas.openxmlformats.org/officeDocument/2006/relationships/hyperlink" Target="http://www.interaksjoner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orencia/" TargetMode="External"/><Relationship Id="rId14" Type="http://schemas.openxmlformats.org/officeDocument/2006/relationships/hyperlink" Target="https://01.samnet.no/fagbibliotek/orenc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2022-10-12T12:06:00Z</dcterms:created>
  <dcterms:modified xsi:type="dcterms:W3CDTF">2022-10-12T12:06:00Z</dcterms:modified>
</cp:coreProperties>
</file>