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D92" w14:textId="77777777" w:rsidR="00411D43" w:rsidRPr="00411D43" w:rsidRDefault="00411D43" w:rsidP="00411D43">
      <w:pPr>
        <w:shd w:val="clear" w:color="auto" w:fill="355C7D"/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nb-NO"/>
        </w:rPr>
      </w:pPr>
      <w:r w:rsidRPr="00411D43"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nb-NO"/>
        </w:rPr>
        <w:t>ROACTEMRA®</w:t>
      </w:r>
    </w:p>
    <w:p w14:paraId="3086BFFC" w14:textId="77777777" w:rsidR="00411D43" w:rsidRPr="00411D43" w:rsidRDefault="00411D43" w:rsidP="00411D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TOCILUCIMAB = ROACTEMRA®</w:t>
      </w: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</w:r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Innhold</w:t>
      </w:r>
    </w:p>
    <w:p w14:paraId="3C7FE723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5" w:anchor="1++Hensikten+med+kontrollrutiner+og+ansvarsforhold+" w:history="1"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1. Hensikten med kontrollrutiner og ansvarsforhold:</w:t>
        </w:r>
      </w:hyperlink>
    </w:p>
    <w:p w14:paraId="11D2F339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6" w:anchor="2++Virkningsmekanisme+og+dosering+av+RoActemra+" w:history="1"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2. Virkningsmekanisme og dosering av </w:t>
        </w:r>
        <w:proofErr w:type="spellStart"/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RoActemra</w:t>
        </w:r>
        <w:proofErr w:type="spellEnd"/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64C98C73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7" w:anchor="3++Generelle+bivirkninger+av+RoActemra+" w:history="1"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3. Generelle bivirkninger av </w:t>
        </w:r>
        <w:proofErr w:type="spellStart"/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RoActemra</w:t>
        </w:r>
        <w:proofErr w:type="spellEnd"/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231E0134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8" w:anchor="Blodpr+vekontroller+ved+RoActemra+" w:history="1"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Blodprøvekontroller ved </w:t>
        </w:r>
        <w:proofErr w:type="spellStart"/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RoActemra</w:t>
        </w:r>
        <w:proofErr w:type="spellEnd"/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5120F12B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9" w:anchor="Kontakt+revmatolog+hvis+" w:history="1"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Kontakt revmatolog hvis:</w:t>
        </w:r>
      </w:hyperlink>
    </w:p>
    <w:p w14:paraId="77D0F12F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0" w:anchor="5++Viktige+generelle+r+d" w:history="1"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5. Viktige generelle råd</w:t>
        </w:r>
      </w:hyperlink>
    </w:p>
    <w:p w14:paraId="25C18DDD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1" w:anchor="+kt+infeksjonsfare+og+skal+seponeres+ved+infeksjon+++obs+normal+lav+CRP" w:history="1"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Økt infeksjonsfare og skal seponeres ved infeksjon – obs normal/lav CRP</w:t>
        </w:r>
      </w:hyperlink>
    </w:p>
    <w:p w14:paraId="0D6C1F72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2" w:anchor="Reaktivering+av+virus" w:history="1"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Reaktivering av virus</w:t>
        </w:r>
      </w:hyperlink>
    </w:p>
    <w:p w14:paraId="07FF08D2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3" w:anchor="Seponer+hvis+" w:history="1"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Seponer hvis:</w:t>
        </w:r>
      </w:hyperlink>
    </w:p>
    <w:p w14:paraId="5E0220CD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4" w:anchor="Kontraindusert+ved+graviditet+og+amming" w:history="1"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Kontraindusert ved graviditet og amming</w:t>
        </w:r>
      </w:hyperlink>
    </w:p>
    <w:p w14:paraId="12B14160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5" w:anchor="Interaksjoner+med+andre+medisiner" w:history="1"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Interaksjoner med andre medisiner</w:t>
        </w:r>
      </w:hyperlink>
    </w:p>
    <w:p w14:paraId="3525BEBE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6" w:anchor="Kirurgiske+inngrep+" w:history="1"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Kirurgiske inngrep:</w:t>
        </w:r>
      </w:hyperlink>
    </w:p>
    <w:p w14:paraId="041341B7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7" w:anchor="Vaksiner" w:history="1"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Vaksiner</w:t>
        </w:r>
      </w:hyperlink>
    </w:p>
    <w:p w14:paraId="71CCAFEA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8" w:anchor="Kontaktinformasjon" w:history="1"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Kontaktinformasjon</w:t>
        </w:r>
      </w:hyperlink>
    </w:p>
    <w:p w14:paraId="5485AB2D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9" w:anchor="Kilder+" w:history="1"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Kilder:</w:t>
        </w:r>
      </w:hyperlink>
    </w:p>
    <w:p w14:paraId="2704D143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pict w14:anchorId="7D15844E">
          <v:rect id="_x0000_i1025" style="width:0;height:0" o:hralign="center" o:hrstd="t" o:hr="t" fillcolor="#a0a0a0" stroked="f"/>
        </w:pict>
      </w:r>
    </w:p>
    <w:p w14:paraId="7EDCD11A" w14:textId="77777777" w:rsidR="00411D43" w:rsidRPr="00411D43" w:rsidRDefault="00411D43" w:rsidP="00411D4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1. Hensikten med kontrollrutiner og ansvarsforhold:</w:t>
      </w:r>
    </w:p>
    <w:p w14:paraId="784EC382" w14:textId="77777777" w:rsidR="00411D43" w:rsidRPr="00411D43" w:rsidRDefault="00411D43" w:rsidP="00411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Behandlingen med biologisk medisin for revmatisk sykdom er en spesialistoppgave, men vi er avhengige av tilbakemelding fra fastlege og/eller pasient ved bivirkninger, endring av blodbildet eller om det oppstår kontraindikasjoner for videre behandling.</w:t>
      </w:r>
    </w:p>
    <w:p w14:paraId="00AF562E" w14:textId="77777777" w:rsidR="00411D43" w:rsidRPr="00411D43" w:rsidRDefault="00411D43" w:rsidP="00411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Hensikten med kontrollrutiner med blant annet blodprøver er å fange opp tegn på bivirkninger, toksisitet eller kontraindikasjoner før alvorlige komplikasjoner inntrer.</w:t>
      </w:r>
    </w:p>
    <w:p w14:paraId="6189D13D" w14:textId="77777777" w:rsidR="00411D43" w:rsidRPr="00411D43" w:rsidRDefault="00411D43" w:rsidP="00411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Pasienten har fått generell informasjon om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®. Pasienten har fått utlevert informasjonsark fra Norsk Revmatologisk Forening ang preparatet.</w:t>
      </w:r>
    </w:p>
    <w:p w14:paraId="7F2D09A4" w14:textId="77777777" w:rsidR="00411D43" w:rsidRPr="00411D43" w:rsidRDefault="00411D43" w:rsidP="00411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Pasienten er informert om at det er pasientens ansvar å møte opp til kontroller og blodprøvetaking hos fastlege som anbefalt.</w:t>
      </w:r>
    </w:p>
    <w:p w14:paraId="7DD7E73D" w14:textId="77777777" w:rsidR="00411D43" w:rsidRPr="00411D43" w:rsidRDefault="00411D43" w:rsidP="00411D4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2. Virkningsmekanisme og dosering av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5ECF095E" w14:textId="77777777" w:rsidR="00411D43" w:rsidRPr="00411D43" w:rsidRDefault="00411D43" w:rsidP="0041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er klassifisert som et biologisk legemiddel, mer spesifikt et monoklonalt antistoff mot human interleukin-6 (IL-6)-reseptor- Hemming av IL-6 medfører demping av betennelses- og immunceller, og det hemmer også aktiveringen av B- og T-celler.</w:t>
      </w:r>
    </w:p>
    <w:p w14:paraId="47A73EE1" w14:textId="77777777" w:rsidR="00411D43" w:rsidRPr="00411D43" w:rsidRDefault="00411D43" w:rsidP="0041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har en halveringstid på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2 uker.</w:t>
      </w:r>
    </w:p>
    <w:p w14:paraId="76240E82" w14:textId="77777777" w:rsidR="00411D43" w:rsidRPr="00411D43" w:rsidRDefault="00411D43" w:rsidP="0041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kan brukes alene eller i kombinasjon med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Methotrexat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(MTX) til behandling av moderat til alvorlig aktiv revmatoid artritt hos voksne som har respondert utilstrekkelig på eller er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intolerente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ovenfor ett eller flere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DMARDs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. Ofte kombineres medikamentene for å potensere virkningen og for å forhindre antistoffdannelse. Effekten vurderes etter 3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behandling.</w:t>
      </w:r>
    </w:p>
    <w:p w14:paraId="604D8A16" w14:textId="77777777" w:rsidR="00411D43" w:rsidRPr="00411D43" w:rsidRDefault="00411D43" w:rsidP="0041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Effekten av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inntrer som regel raskt og øker de første 2-3 mnd. Ved manglende effekt innen 3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avsluttes behandlingen.</w:t>
      </w:r>
    </w:p>
    <w:p w14:paraId="19B74762" w14:textId="77777777" w:rsidR="00411D43" w:rsidRPr="00411D43" w:rsidRDefault="00411D43" w:rsidP="0041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kan kun forskrives eller fornyes av revmatolog = såkalt H-resept.</w:t>
      </w:r>
    </w:p>
    <w:p w14:paraId="273A48D4" w14:textId="77777777" w:rsidR="00411D43" w:rsidRPr="00411D43" w:rsidRDefault="00411D43" w:rsidP="0041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kan både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taes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subcutant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intravenøst</w:t>
      </w:r>
    </w:p>
    <w:p w14:paraId="0208B8C6" w14:textId="77777777" w:rsidR="00411D43" w:rsidRPr="00411D43" w:rsidRDefault="00411D43" w:rsidP="0041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Subcutant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: 162 mg ukentlig.</w:t>
      </w:r>
    </w:p>
    <w:p w14:paraId="23A5298C" w14:textId="77777777" w:rsidR="00411D43" w:rsidRPr="00411D43" w:rsidRDefault="00411D43" w:rsidP="0041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Intravenøst: 8 mg/kg iv hver fjerde uke der maks dose er 800 mg.</w:t>
      </w:r>
    </w:p>
    <w:p w14:paraId="12379A62" w14:textId="77777777" w:rsidR="00411D43" w:rsidRPr="00411D43" w:rsidRDefault="00411D43" w:rsidP="00411D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Revmatolog kan ved behov måle serumkonsentrasjonen og antistoffer av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®- man måler da bunnkonsentrasjon der referanseområde er 10-25 mg/L.</w:t>
      </w:r>
    </w:p>
    <w:p w14:paraId="7A2A66C2" w14:textId="77777777" w:rsidR="00411D43" w:rsidRPr="00411D43" w:rsidRDefault="00411D43" w:rsidP="00411D4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lastRenderedPageBreak/>
        <w:t xml:space="preserve">3. Generelle bivirkninger av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47B5136B" w14:textId="77777777" w:rsidR="00411D43" w:rsidRPr="00411D43" w:rsidRDefault="00411D43" w:rsidP="00411D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Infeksjoner som ikke nødvendigvis gir økt CRP:</w:t>
      </w: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 Luftveis-, urinveis-, hud- og tannrots infeksjoner. Husk at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som en IL-6 hemmer ofte gir «falsk lav» eller normal CRP på tross av infeksjon - det er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m.a.o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klinikken som er viktig!</w:t>
      </w:r>
    </w:p>
    <w:p w14:paraId="08B6BBED" w14:textId="77777777" w:rsidR="00411D43" w:rsidRPr="00411D43" w:rsidRDefault="00411D43" w:rsidP="00411D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Benmargsdepresjon (sjelden):</w:t>
      </w: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 Anemi.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Leukopeni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.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Trombocytopeni</w:t>
      </w:r>
      <w:proofErr w:type="spellEnd"/>
    </w:p>
    <w:p w14:paraId="65543495" w14:textId="77777777" w:rsidR="00411D43" w:rsidRPr="00411D43" w:rsidRDefault="00411D43" w:rsidP="00411D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Leverpåvirkning:</w:t>
      </w: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Forhøyede leverenzymer</w:t>
      </w:r>
    </w:p>
    <w:p w14:paraId="6A722EE3" w14:textId="77777777" w:rsidR="00411D43" w:rsidRPr="00411D43" w:rsidRDefault="00411D43" w:rsidP="00411D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Hypertensjon</w:t>
      </w:r>
    </w:p>
    <w:p w14:paraId="397DB6D9" w14:textId="77777777" w:rsidR="00411D43" w:rsidRPr="00411D43" w:rsidRDefault="00411D43" w:rsidP="00411D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Hyperkolesterolemi</w:t>
      </w:r>
    </w:p>
    <w:p w14:paraId="26DC6A64" w14:textId="77777777" w:rsidR="00411D43" w:rsidRPr="00411D43" w:rsidRDefault="00411D43" w:rsidP="00411D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Hudutslett og kløe</w:t>
      </w:r>
    </w:p>
    <w:p w14:paraId="70EA43B6" w14:textId="77777777" w:rsidR="00411D43" w:rsidRPr="00411D43" w:rsidRDefault="00411D43" w:rsidP="00411D4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Blodprøvekontroller ved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66347E99" w14:textId="77777777" w:rsidR="00411D43" w:rsidRPr="00411D43" w:rsidRDefault="00411D43" w:rsidP="00411D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Ved oppstart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anbefales blodprøver hos fastlegen 14 dager etter oppstart, deretter månedlig i 3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, og deretter hver 3 måned etter dette.</w:t>
      </w:r>
    </w:p>
    <w:p w14:paraId="06E99990" w14:textId="77777777" w:rsidR="00411D43" w:rsidRPr="00411D43" w:rsidRDefault="00411D43" w:rsidP="00411D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Blodprøver som skal tas er CRP,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hb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, hvite med differensialtelling, trombocytter,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kreatinin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, GFR, ASAT, ALAT, ALP og albumin.  </w:t>
      </w:r>
    </w:p>
    <w:p w14:paraId="4AB4E4F5" w14:textId="77777777" w:rsidR="00411D43" w:rsidRPr="00411D43" w:rsidRDefault="00411D43" w:rsidP="00411D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Man anbefaler også kontroll av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triglyserider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, s-kolesterol, LDL-kolesterol og HDL-kolesterol 2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etter behandlingsstart. Dette da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kan gi økte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lipidparametre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. Kliniske retningslinjer for behandling av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hyperlipidemi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bør da følges.</w:t>
      </w:r>
    </w:p>
    <w:p w14:paraId="18C054F6" w14:textId="77777777" w:rsidR="00411D43" w:rsidRPr="00411D43" w:rsidRDefault="00411D43" w:rsidP="00411D4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Kontakt revmatolog hvis:</w:t>
      </w:r>
    </w:p>
    <w:p w14:paraId="25881F8F" w14:textId="77777777" w:rsidR="00411D43" w:rsidRPr="00411D43" w:rsidRDefault="00411D43" w:rsidP="00411D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Hb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- &lt; 9.0 eller reduksjon på &gt; 2</w:t>
      </w:r>
    </w:p>
    <w:p w14:paraId="722F81A5" w14:textId="77777777" w:rsidR="00411D43" w:rsidRPr="00411D43" w:rsidRDefault="00411D43" w:rsidP="00411D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Hvite &lt; 3.0</w:t>
      </w:r>
    </w:p>
    <w:p w14:paraId="238D88D6" w14:textId="77777777" w:rsidR="00411D43" w:rsidRPr="00411D43" w:rsidRDefault="00411D43" w:rsidP="00411D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Nøytrofile granulocytter &lt; 1.5</w:t>
      </w:r>
    </w:p>
    <w:p w14:paraId="07C730D1" w14:textId="77777777" w:rsidR="00411D43" w:rsidRPr="00411D43" w:rsidRDefault="00411D43" w:rsidP="00411D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Trombocytter &lt; 100</w:t>
      </w:r>
    </w:p>
    <w:p w14:paraId="7FA888CE" w14:textId="77777777" w:rsidR="00411D43" w:rsidRPr="00411D43" w:rsidRDefault="00411D43" w:rsidP="00411D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ALAT/ASAT/ALP &gt; x 2 øvre referanseområde</w:t>
      </w:r>
    </w:p>
    <w:p w14:paraId="7F954097" w14:textId="77777777" w:rsidR="00411D43" w:rsidRPr="00411D43" w:rsidRDefault="00411D43" w:rsidP="00411D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Stigende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kreatinin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fallende GFR</w:t>
      </w:r>
    </w:p>
    <w:p w14:paraId="1BDBE781" w14:textId="77777777" w:rsidR="00411D43" w:rsidRPr="00411D43" w:rsidRDefault="00411D43" w:rsidP="00411D4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5. Viktige generelle råd</w:t>
      </w:r>
    </w:p>
    <w:p w14:paraId="5E4D0313" w14:textId="77777777" w:rsidR="00411D43" w:rsidRPr="00411D43" w:rsidRDefault="00411D43" w:rsidP="00411D4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Økt infeksjonsfare og skal seponeres ved infeksjon – obs normal/lav CRP</w:t>
      </w:r>
    </w:p>
    <w:p w14:paraId="4B7BC71E" w14:textId="77777777" w:rsidR="00411D43" w:rsidRPr="00411D43" w:rsidRDefault="00411D43" w:rsidP="00411D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Pasienter på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®er mer utsatt for infeksjoner, og ved tegn på infeksjon skal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seponeres til infeksjonen er ferdigbehandlet. Dette gjelder også lokaliserte infeksjoner. Vennligst kontakt revmatolog hvis residiverende infeksjoner.</w:t>
      </w:r>
    </w:p>
    <w:p w14:paraId="6692B438" w14:textId="77777777" w:rsidR="00411D43" w:rsidRPr="00411D43" w:rsidRDefault="00411D43" w:rsidP="00411D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Behandlingen skal avbrytes dersom pasienten utvikler en alvorlig infeksjon, en opportunistisk infeksjon eller sepsis.</w:t>
      </w:r>
    </w:p>
    <w:p w14:paraId="2518BEE2" w14:textId="77777777" w:rsidR="00411D43" w:rsidRPr="00411D43" w:rsidRDefault="00411D43" w:rsidP="00411D4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Reaktivering av virus</w:t>
      </w:r>
    </w:p>
    <w:p w14:paraId="415FA537" w14:textId="77777777" w:rsidR="00411D43" w:rsidRPr="00411D43" w:rsidRDefault="00411D43" w:rsidP="00411D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gir økt fare for reaktivering av virus.</w:t>
      </w:r>
    </w:p>
    <w:p w14:paraId="0D5202E7" w14:textId="77777777" w:rsidR="00411D43" w:rsidRPr="00411D43" w:rsidRDefault="00411D43" w:rsidP="00411D4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Seponer hvis:</w:t>
      </w:r>
    </w:p>
    <w:p w14:paraId="1E461C2E" w14:textId="77777777" w:rsidR="00411D43" w:rsidRPr="00411D43" w:rsidRDefault="00411D43" w:rsidP="00411D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påvist kreftsykdom: 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kan muligens påvirke pasientens forsvar mot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malignitet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. Hvis pasienten utvikler kreftsykdom under behandling ta kontakt med revmatolog for vurdering.</w:t>
      </w:r>
    </w:p>
    <w:p w14:paraId="02B3D666" w14:textId="77777777" w:rsidR="00411D43" w:rsidRPr="00411D43" w:rsidRDefault="00411D43" w:rsidP="00411D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demyeliserende</w:t>
      </w:r>
      <w:proofErr w:type="spellEnd"/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 xml:space="preserve"> sykdom</w:t>
      </w:r>
    </w:p>
    <w:p w14:paraId="4834B7AF" w14:textId="77777777" w:rsidR="00411D43" w:rsidRPr="00411D43" w:rsidRDefault="00411D43" w:rsidP="00411D4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Kontraindusert ved graviditet og amming</w:t>
      </w:r>
    </w:p>
    <w:p w14:paraId="297789FF" w14:textId="77777777" w:rsidR="00411D43" w:rsidRPr="00411D43" w:rsidRDefault="00411D43" w:rsidP="00411D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lastRenderedPageBreak/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kontraindusert hos gravide. Fertile kvinner bør rådes til å bruke sikker prevensjon under behandling og i minst 3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etter siste dose.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er kontraindusert under amming.</w:t>
      </w:r>
    </w:p>
    <w:p w14:paraId="69F5C8D0" w14:textId="77777777" w:rsidR="00411D43" w:rsidRPr="00411D43" w:rsidRDefault="00411D43" w:rsidP="00411D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Det finnes ingen god dokumentasjon på om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kan påvirke sædcellene eller gir teratogen, og menn som ønsker å bli far kan fortsette med behandlingen</w:t>
      </w:r>
    </w:p>
    <w:p w14:paraId="1525B0DA" w14:textId="77777777" w:rsidR="00411D43" w:rsidRPr="00411D43" w:rsidRDefault="00411D43" w:rsidP="00411D4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Interaksjoner med andre medisiner</w:t>
      </w:r>
    </w:p>
    <w:p w14:paraId="61FE5424" w14:textId="77777777" w:rsidR="00411D43" w:rsidRPr="00411D43" w:rsidRDefault="00411D43" w:rsidP="00411D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gir økt infeksjonsfare og bør helst ikke kombineres med andre immundempende – unntaket er MTX som kan vurderes i kombinasjon.</w:t>
      </w:r>
    </w:p>
    <w:p w14:paraId="74EEC4B6" w14:textId="77777777" w:rsidR="00411D43" w:rsidRPr="00411D43" w:rsidRDefault="00411D43" w:rsidP="00411D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interagerer med andre medisiner - sjekk </w:t>
      </w:r>
      <w:hyperlink r:id="rId20" w:history="1"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www.interaksjoner.no</w:t>
        </w:r>
      </w:hyperlink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ved oppstart av nye medisiner</w:t>
      </w:r>
    </w:p>
    <w:p w14:paraId="06FD7FF1" w14:textId="77777777" w:rsidR="00411D43" w:rsidRPr="00411D43" w:rsidRDefault="00411D43" w:rsidP="00411D4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Kirurgiske inngrep:</w:t>
      </w:r>
    </w:p>
    <w:p w14:paraId="462203E9" w14:textId="77777777" w:rsidR="00411D43" w:rsidRPr="00411D43" w:rsidRDefault="00411D43" w:rsidP="00411D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bør seponeres før kirurgiske inngrep. Hvor lenge før avhenger av om pasienten får preparatet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subcutant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eller intravenøst.</w:t>
      </w:r>
    </w:p>
    <w:p w14:paraId="21FCE6CD" w14:textId="77777777" w:rsidR="00411D43" w:rsidRPr="00411D43" w:rsidRDefault="00411D43" w:rsidP="00411D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bør gjeninnsettes 2 uker post-operativ – forutsett ukomplisert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sårtilheling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fravær av infeksjon. Dette gjelder både om preparatet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taes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subcutant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eller intravenøst.</w:t>
      </w:r>
    </w:p>
    <w:p w14:paraId="7E2F0230" w14:textId="77777777" w:rsidR="00411D43" w:rsidRPr="00411D43" w:rsidRDefault="00411D43" w:rsidP="00411D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Subcutant</w:t>
      </w:r>
      <w:proofErr w:type="spellEnd"/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 xml:space="preserve"> - </w:t>
      </w:r>
      <w:proofErr w:type="spellStart"/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®</w:t>
      </w:r>
    </w:p>
    <w:p w14:paraId="6C73E2B9" w14:textId="77777777" w:rsidR="00411D43" w:rsidRPr="00411D43" w:rsidRDefault="00411D43" w:rsidP="00411D43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Store kirurgiske inngrep = innsetting av implantater, karkirurgi og kreftkirurgi = 2 uker.</w:t>
      </w:r>
    </w:p>
    <w:p w14:paraId="34CDB3A4" w14:textId="77777777" w:rsidR="00411D43" w:rsidRPr="00411D43" w:rsidRDefault="00411D43" w:rsidP="00411D43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Mindre kirurgiske inngrep =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artroskopiske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inngrep og mindre hudoperasjoner = 1 uke.</w:t>
      </w:r>
    </w:p>
    <w:p w14:paraId="52716BBA" w14:textId="77777777" w:rsidR="00411D43" w:rsidRPr="00411D43" w:rsidRDefault="00411D43" w:rsidP="00411D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Intravenøst - </w:t>
      </w:r>
      <w:proofErr w:type="spellStart"/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®</w:t>
      </w:r>
    </w:p>
    <w:p w14:paraId="643E8D8B" w14:textId="77777777" w:rsidR="00411D43" w:rsidRPr="00411D43" w:rsidRDefault="00411D43" w:rsidP="00411D43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Store kirurgiske inngrep = innsetting av implantater, karkirurgi og kreftkirurgi = 4 uker.</w:t>
      </w:r>
    </w:p>
    <w:p w14:paraId="4EC8F891" w14:textId="77777777" w:rsidR="00411D43" w:rsidRPr="00411D43" w:rsidRDefault="00411D43" w:rsidP="00411D43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Mindre kirurgiske inngrep =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artroskopiske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inngrep og mindre hudoperasjoner = 2 uker.</w:t>
      </w:r>
    </w:p>
    <w:p w14:paraId="0EF4C22C" w14:textId="77777777" w:rsidR="00411D43" w:rsidRPr="00411D43" w:rsidRDefault="00411D43" w:rsidP="00411D4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Vaksiner</w:t>
      </w:r>
    </w:p>
    <w:p w14:paraId="5EC9D040" w14:textId="77777777" w:rsidR="00411D43" w:rsidRPr="00411D43" w:rsidRDefault="00411D43" w:rsidP="00411D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Ikke-levende vaksiner</w:t>
      </w: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 kan gis og det anbefales minimum influensavaksine årlig. Alle som settes på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RoActemra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får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pneumokokkvaksine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</w:t>
      </w:r>
      <w:proofErr w:type="spellStart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pneumovax</w:t>
      </w:r>
      <w:proofErr w:type="spellEnd"/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(PPV23) før oppstart, og siden hver 10ende år.</w:t>
      </w:r>
    </w:p>
    <w:p w14:paraId="7F46FEEA" w14:textId="77777777" w:rsidR="00411D43" w:rsidRPr="00411D43" w:rsidRDefault="00411D43" w:rsidP="00411D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Levende, svekkede vaksiner er kontraindusert:</w:t>
      </w: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Hvis behov for å gi slike vaksiner skal infeksjonslege kontaktes</w:t>
      </w:r>
    </w:p>
    <w:p w14:paraId="61AE44C7" w14:textId="77777777" w:rsidR="00411D43" w:rsidRPr="00411D43" w:rsidRDefault="00411D43" w:rsidP="00411D4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Kontaktinformasjon</w:t>
      </w:r>
    </w:p>
    <w:p w14:paraId="7591642D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SKULLE DET VÆRE SPØRSMÅL KAN REVMATOLOGISK AVDELING KONTAKTES</w:t>
      </w:r>
    </w:p>
    <w:p w14:paraId="65BD030A" w14:textId="77777777" w:rsidR="00411D43" w:rsidRPr="00411D43" w:rsidRDefault="00411D43" w:rsidP="00411D4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Kilder:</w:t>
      </w:r>
    </w:p>
    <w:p w14:paraId="1F2A77AB" w14:textId="77777777" w:rsidR="00411D43" w:rsidRPr="00411D43" w:rsidRDefault="00411D43" w:rsidP="00411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1. Nasjonal prosedyre for diagnostikk, behandling og oppfølging av revmatoid artritt i Norge</w:t>
      </w: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2. Veileder i svangerskap og revmatiske sykdommer</w:t>
      </w: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3. Felleskatalogen</w:t>
      </w: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4. Medikamentark UNN</w:t>
      </w: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 </w:t>
      </w:r>
    </w:p>
    <w:p w14:paraId="3B3D9737" w14:textId="77777777" w:rsidR="00411D43" w:rsidRPr="00411D43" w:rsidRDefault="00411D43" w:rsidP="00411D4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21" w:tgtFrame="_self" w:history="1">
        <w:r w:rsidRPr="00411D43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 Gudleik Jørstad</w:t>
        </w:r>
      </w:hyperlink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shd w:val="clear" w:color="auto" w:fill="DEE2E6"/>
          <w:lang w:eastAsia="nb-NO"/>
        </w:rPr>
        <w:t> </w:t>
      </w: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04.04.2019</w:t>
      </w:r>
      <w:r w:rsidRPr="00411D43">
        <w:rPr>
          <w:rFonts w:ascii="Times New Roman" w:eastAsia="Times New Roman" w:hAnsi="Times New Roman" w:cs="Times New Roman"/>
          <w:color w:val="373A3C"/>
          <w:sz w:val="21"/>
          <w:szCs w:val="21"/>
          <w:shd w:val="clear" w:color="auto" w:fill="DEE2E6"/>
          <w:lang w:eastAsia="nb-NO"/>
        </w:rPr>
        <w:t> </w:t>
      </w:r>
    </w:p>
    <w:p w14:paraId="44DEE662" w14:textId="77777777" w:rsidR="00411D43" w:rsidRPr="00411D43" w:rsidRDefault="00411D43" w:rsidP="00411D43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nb-NO"/>
        </w:rPr>
      </w:pPr>
      <w:r w:rsidRPr="00411D43">
        <w:rPr>
          <w:rFonts w:ascii="Times New Roman" w:eastAsia="Times New Roman" w:hAnsi="Times New Roman" w:cs="Times New Roman"/>
          <w:color w:val="FFFFFF"/>
          <w:sz w:val="24"/>
          <w:szCs w:val="24"/>
          <w:lang w:eastAsia="nb-NO"/>
        </w:rPr>
        <w:t>© Fastlegeportalen 2015 - 2022</w:t>
      </w:r>
    </w:p>
    <w:p w14:paraId="484F0D4B" w14:textId="77777777" w:rsidR="00785ECF" w:rsidRDefault="00411D43"/>
    <w:sectPr w:rsidR="0078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2FA"/>
    <w:multiLevelType w:val="multilevel"/>
    <w:tmpl w:val="6EE0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E55D8"/>
    <w:multiLevelType w:val="multilevel"/>
    <w:tmpl w:val="FB60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0166A"/>
    <w:multiLevelType w:val="multilevel"/>
    <w:tmpl w:val="1F56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060E6"/>
    <w:multiLevelType w:val="multilevel"/>
    <w:tmpl w:val="450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D6A56"/>
    <w:multiLevelType w:val="multilevel"/>
    <w:tmpl w:val="5ABC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D4A84"/>
    <w:multiLevelType w:val="multilevel"/>
    <w:tmpl w:val="C12C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F7718"/>
    <w:multiLevelType w:val="multilevel"/>
    <w:tmpl w:val="2F9A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019D7"/>
    <w:multiLevelType w:val="multilevel"/>
    <w:tmpl w:val="F00A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4097D"/>
    <w:multiLevelType w:val="multilevel"/>
    <w:tmpl w:val="47B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A038D"/>
    <w:multiLevelType w:val="multilevel"/>
    <w:tmpl w:val="D258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3C2189"/>
    <w:multiLevelType w:val="multilevel"/>
    <w:tmpl w:val="7D06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AC7418"/>
    <w:multiLevelType w:val="multilevel"/>
    <w:tmpl w:val="3F40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A4B84"/>
    <w:multiLevelType w:val="multilevel"/>
    <w:tmpl w:val="8802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017852"/>
    <w:multiLevelType w:val="multilevel"/>
    <w:tmpl w:val="5678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9657387">
    <w:abstractNumId w:val="0"/>
  </w:num>
  <w:num w:numId="2" w16cid:durableId="869610750">
    <w:abstractNumId w:val="5"/>
  </w:num>
  <w:num w:numId="3" w16cid:durableId="1149319816">
    <w:abstractNumId w:val="10"/>
  </w:num>
  <w:num w:numId="4" w16cid:durableId="738093030">
    <w:abstractNumId w:val="7"/>
  </w:num>
  <w:num w:numId="5" w16cid:durableId="1025907702">
    <w:abstractNumId w:val="8"/>
  </w:num>
  <w:num w:numId="6" w16cid:durableId="1524858297">
    <w:abstractNumId w:val="2"/>
  </w:num>
  <w:num w:numId="7" w16cid:durableId="1921060551">
    <w:abstractNumId w:val="9"/>
  </w:num>
  <w:num w:numId="8" w16cid:durableId="742916822">
    <w:abstractNumId w:val="13"/>
  </w:num>
  <w:num w:numId="9" w16cid:durableId="1833254657">
    <w:abstractNumId w:val="4"/>
  </w:num>
  <w:num w:numId="10" w16cid:durableId="1143885989">
    <w:abstractNumId w:val="1"/>
  </w:num>
  <w:num w:numId="11" w16cid:durableId="202913010">
    <w:abstractNumId w:val="6"/>
  </w:num>
  <w:num w:numId="12" w16cid:durableId="1752239053">
    <w:abstractNumId w:val="12"/>
  </w:num>
  <w:num w:numId="13" w16cid:durableId="1910800122">
    <w:abstractNumId w:val="11"/>
  </w:num>
  <w:num w:numId="14" w16cid:durableId="379862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43"/>
    <w:rsid w:val="001252C2"/>
    <w:rsid w:val="00243B75"/>
    <w:rsid w:val="00411D43"/>
    <w:rsid w:val="009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1FA4"/>
  <w15:chartTrackingRefBased/>
  <w15:docId w15:val="{ED7245BF-24F8-4CFA-AF13-B2048D19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11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411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411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1D4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1D4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1D43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1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11D43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411D43"/>
    <w:rPr>
      <w:color w:val="0000FF"/>
      <w:u w:val="single"/>
    </w:rPr>
  </w:style>
  <w:style w:type="character" w:customStyle="1" w:styleId="v-bar">
    <w:name w:val="v-bar"/>
    <w:basedOn w:val="Standardskriftforavsnitt"/>
    <w:rsid w:val="00411D43"/>
  </w:style>
  <w:style w:type="character" w:customStyle="1" w:styleId="entry-meta-item">
    <w:name w:val="entry-meta-item"/>
    <w:basedOn w:val="Standardskriftforavsnitt"/>
    <w:rsid w:val="00411D43"/>
  </w:style>
  <w:style w:type="paragraph" w:customStyle="1" w:styleId="mb-0">
    <w:name w:val="mb-0"/>
    <w:basedOn w:val="Normal"/>
    <w:rsid w:val="0041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849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771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  <w:div w:id="19279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499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940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9543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2625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223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9536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9273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820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7854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871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5454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669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559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906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5880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0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5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1.samnet.no/fagbibliotek/toc/" TargetMode="External"/><Relationship Id="rId13" Type="http://schemas.openxmlformats.org/officeDocument/2006/relationships/hyperlink" Target="https://01.samnet.no/fagbibliotek/toc/" TargetMode="External"/><Relationship Id="rId18" Type="http://schemas.openxmlformats.org/officeDocument/2006/relationships/hyperlink" Target="https://01.samnet.no/fagbibliotek/to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mnet.no/profil/383" TargetMode="External"/><Relationship Id="rId7" Type="http://schemas.openxmlformats.org/officeDocument/2006/relationships/hyperlink" Target="https://01.samnet.no/fagbibliotek/toc/" TargetMode="External"/><Relationship Id="rId12" Type="http://schemas.openxmlformats.org/officeDocument/2006/relationships/hyperlink" Target="https://01.samnet.no/fagbibliotek/toc/" TargetMode="External"/><Relationship Id="rId17" Type="http://schemas.openxmlformats.org/officeDocument/2006/relationships/hyperlink" Target="https://01.samnet.no/fagbibliotek/to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01.samnet.no/fagbibliotek/toc/" TargetMode="External"/><Relationship Id="rId20" Type="http://schemas.openxmlformats.org/officeDocument/2006/relationships/hyperlink" Target="http://www.interaksjoner.n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01.samnet.no/fagbibliotek/toc/" TargetMode="External"/><Relationship Id="rId11" Type="http://schemas.openxmlformats.org/officeDocument/2006/relationships/hyperlink" Target="https://01.samnet.no/fagbibliotek/toc/" TargetMode="External"/><Relationship Id="rId5" Type="http://schemas.openxmlformats.org/officeDocument/2006/relationships/hyperlink" Target="https://01.samnet.no/fagbibliotek/toc/" TargetMode="External"/><Relationship Id="rId15" Type="http://schemas.openxmlformats.org/officeDocument/2006/relationships/hyperlink" Target="https://01.samnet.no/fagbibliotek/toc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01.samnet.no/fagbibliotek/toc/" TargetMode="External"/><Relationship Id="rId19" Type="http://schemas.openxmlformats.org/officeDocument/2006/relationships/hyperlink" Target="https://01.samnet.no/fagbibliotek/to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01.samnet.no/fagbibliotek/toc/" TargetMode="External"/><Relationship Id="rId14" Type="http://schemas.openxmlformats.org/officeDocument/2006/relationships/hyperlink" Target="https://01.samnet.no/fagbibliotek/toc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1255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Adelved</dc:creator>
  <cp:keywords/>
  <dc:description/>
  <cp:lastModifiedBy>Benny Adelved</cp:lastModifiedBy>
  <cp:revision>1</cp:revision>
  <dcterms:created xsi:type="dcterms:W3CDTF">2022-10-12T12:09:00Z</dcterms:created>
  <dcterms:modified xsi:type="dcterms:W3CDTF">2022-10-12T12:10:00Z</dcterms:modified>
</cp:coreProperties>
</file>